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2.4509803921569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Stateninformatie Provincie Utrecht</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27-11-2025 04:51</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Ontvangen berichten</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2025</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(20 onderwerpen)</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62" w:history="1">
        <w:r>
          <w:rPr>
            <w:rFonts w:ascii="Arial" w:hAnsi="Arial" w:eastAsia="Arial" w:cs="Arial"/>
            <w:color w:val="155CAA"/>
            <w:u w:val="single"/>
          </w:rPr>
          <w:t xml:space="preserve">1 Negatieve wolvenreclame en wolvenhaat verspreiding en angst op website provincie utrecht en reclame</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48" w:history="1">
        <w:r>
          <w:rPr>
            <w:rFonts w:ascii="Arial" w:hAnsi="Arial" w:eastAsia="Arial" w:cs="Arial"/>
            <w:color w:val="155CAA"/>
            <w:u w:val="single"/>
          </w:rPr>
          <w:t xml:space="preserve">2 Landbouw geen Roofbouw - Extinction Rebellion Netherlands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54" w:history="1">
        <w:r>
          <w:rPr>
            <w:rFonts w:ascii="Arial" w:hAnsi="Arial" w:eastAsia="Arial" w:cs="Arial"/>
            <w:color w:val="155CAA"/>
            <w:u w:val="single"/>
          </w:rPr>
          <w:t xml:space="preserve">3 Reactie op brief 3 juni - Windplannen GS -</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16" w:history="1">
        <w:r>
          <w:rPr>
            <w:rFonts w:ascii="Arial" w:hAnsi="Arial" w:eastAsia="Arial" w:cs="Arial"/>
            <w:color w:val="155CAA"/>
            <w:u w:val="single"/>
          </w:rPr>
          <w:t xml:space="preserve">4 Solidariteit gemeenteraad Hilversum met gemeenten Wijdemeren en Stichtse Vecht tegen voorgenomen plaatsing windturbines nabij Nederhorst den Berg</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42" w:history="1">
        <w:r>
          <w:rPr>
            <w:rFonts w:ascii="Arial" w:hAnsi="Arial" w:eastAsia="Arial" w:cs="Arial"/>
            <w:color w:val="155CAA"/>
            <w:u w:val="single"/>
          </w:rPr>
          <w:t xml:space="preserve">5 Zienswijze Spaar het Gein m.b.t. plannen hoogspanningsstation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51" w:history="1">
        <w:r>
          <w:rPr>
            <w:rFonts w:ascii="Arial" w:hAnsi="Arial" w:eastAsia="Arial" w:cs="Arial"/>
            <w:color w:val="155CAA"/>
            <w:u w:val="single"/>
          </w:rPr>
          <w:t xml:space="preserve">6 Rapport Randstedelijke Rekenkamer Een vol stroomnet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47" w:history="1">
        <w:r>
          <w:rPr>
            <w:rFonts w:ascii="Arial" w:hAnsi="Arial" w:eastAsia="Arial" w:cs="Arial"/>
            <w:color w:val="155CAA"/>
            <w:u w:val="single"/>
          </w:rPr>
          <w:t xml:space="preserve">7 Voorgenomen windpark in zoekgebied 43 bij UNESCO Werelderfgoed de Hollandse Waterlinies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31" w:history="1">
        <w:r>
          <w:rPr>
            <w:rFonts w:ascii="Arial" w:hAnsi="Arial" w:eastAsia="Arial" w:cs="Arial"/>
            <w:color w:val="155CAA"/>
            <w:u w:val="single"/>
          </w:rPr>
          <w:t xml:space="preserve">8 Netcongestie terugleveringen Stichtse Vecht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57" w:history="1">
        <w:r>
          <w:rPr>
            <w:rFonts w:ascii="Arial" w:hAnsi="Arial" w:eastAsia="Arial" w:cs="Arial"/>
            <w:color w:val="155CAA"/>
            <w:u w:val="single"/>
          </w:rPr>
          <w:t xml:space="preserve">9 Vergoeding griifierecht en onjuiste informatie van gedeputeerde, hoger beroep Theehuis Overbosch</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75" w:history="1">
        <w:r>
          <w:rPr>
            <w:rFonts w:ascii="Arial" w:hAnsi="Arial" w:eastAsia="Arial" w:cs="Arial"/>
            <w:color w:val="155CAA"/>
            <w:u w:val="single"/>
          </w:rPr>
          <w:t xml:space="preserve">10 Manifest "Slinger van Protest"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60" w:history="1">
        <w:r>
          <w:rPr>
            <w:rFonts w:ascii="Arial" w:hAnsi="Arial" w:eastAsia="Arial" w:cs="Arial"/>
            <w:color w:val="155CAA"/>
            <w:u w:val="single"/>
          </w:rPr>
          <w:t xml:space="preserve">11 Lidmaatschap UNESCO</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53" w:history="1">
        <w:r>
          <w:rPr>
            <w:rFonts w:ascii="Arial" w:hAnsi="Arial" w:eastAsia="Arial" w:cs="Arial"/>
            <w:color w:val="155CAA"/>
            <w:u w:val="single"/>
          </w:rPr>
          <w:t xml:space="preserve">12 Geen festivalterrein De Hampoort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52" w:history="1">
        <w:r>
          <w:rPr>
            <w:rFonts w:ascii="Arial" w:hAnsi="Arial" w:eastAsia="Arial" w:cs="Arial"/>
            <w:color w:val="155CAA"/>
            <w:u w:val="single"/>
          </w:rPr>
          <w:t xml:space="preserve">13 Gespreksnotitie tbv PS - IPO-bestuursvergadering 3 juli 2025</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47" w:history="1">
        <w:r>
          <w:rPr>
            <w:rFonts w:ascii="Arial" w:hAnsi="Arial" w:eastAsia="Arial" w:cs="Arial"/>
            <w:color w:val="155CAA"/>
            <w:u w:val="single"/>
          </w:rPr>
          <w:t xml:space="preserve">14 Gemeenschappelijke Regeling RUD/ODRU Update vorming een omgevingsdienst in Utrecht juli 2025</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46" w:history="1">
        <w:r>
          <w:rPr>
            <w:rFonts w:ascii="Arial" w:hAnsi="Arial" w:eastAsia="Arial" w:cs="Arial"/>
            <w:color w:val="155CAA"/>
            <w:u w:val="single"/>
          </w:rPr>
          <w:t xml:space="preserve">15 Advies commissariaat voor de Media aanwijzing regionale publieke omroep (SV Aanwijzingsprocedure regionale publieke omroep volgt in oktober)</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44" w:history="1">
        <w:r>
          <w:rPr>
            <w:rFonts w:ascii="Arial" w:hAnsi="Arial" w:eastAsia="Arial" w:cs="Arial"/>
            <w:color w:val="155CAA"/>
            <w:u w:val="single"/>
          </w:rPr>
          <w:t xml:space="preserve">16 Gemeenschappelijke Regeling RRK Begroting 2026</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23" w:history="1">
        <w:r>
          <w:rPr>
            <w:rFonts w:ascii="Arial" w:hAnsi="Arial" w:eastAsia="Arial" w:cs="Arial"/>
            <w:color w:val="155CAA"/>
            <w:u w:val="single"/>
          </w:rPr>
          <w:t xml:space="preserve">17 Gemeenschappelijke Regeling Aanbieding (Ontwerp) Programmabegroting ODU 2026 en (Ontwerp) Bijdrageverordening ODU voor mogelijkheid zienswijze (De zienswijze volgt nog. Deze wordt meegenomen bij het Statenvoorstel Toestemming tot toetreding van de GR ODU (nazending 3 september)</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27" w:history="1">
        <w:r>
          <w:rPr>
            <w:rFonts w:ascii="Arial" w:hAnsi="Arial" w:eastAsia="Arial" w:cs="Arial"/>
            <w:color w:val="155CAA"/>
            <w:u w:val="single"/>
          </w:rPr>
          <w:t xml:space="preserve">18 Gemeenschappelijke Regeling Recreatieschap Stichtse Groenlanden Vastgestelde financiële stukken </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25" w:history="1">
        <w:r>
          <w:rPr>
            <w:rFonts w:ascii="Arial" w:hAnsi="Arial" w:eastAsia="Arial" w:cs="Arial"/>
            <w:color w:val="155CAA"/>
            <w:u w:val="single"/>
          </w:rPr>
          <w:t xml:space="preserve">19 Gemeenschappelijke Regeling Plassenschap Loosdrecht e.o. Ontwerpbegroting 2026</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237" w:history="1">
        <w:r>
          <w:rPr>
            <w:rFonts w:ascii="Arial" w:hAnsi="Arial" w:eastAsia="Arial" w:cs="Arial"/>
            <w:color w:val="155CAA"/>
            <w:u w:val="single"/>
          </w:rPr>
          <w:t xml:space="preserve">20 Letter from the Ambassador of Denmark on the Danish EU Presidency of the Council of the European Union</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62"/>
      <w:r w:rsidRPr="00A448AC">
        <w:rPr>
          <w:rFonts w:ascii="Arial" w:hAnsi="Arial" w:cs="Arial"/>
          <w:b/>
          <w:bCs/>
          <w:color w:val="303F4C"/>
          <w:lang w:val="en-US"/>
        </w:rPr>
        <w:t>Negatieve wolvenreclame en wolvenhaat verspreiding en angst op website provincie utrecht en reclame</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07-10-2025 10:16</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Landelijk gebied, Water (bodem) en Milieu</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Negatieve wolvenreclame en wolvenhaat verspreiding en angst op website provincie utrecht en reclame_Geredigeerd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29-07-2025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233,56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48"/>
      <w:r w:rsidRPr="00A448AC">
        <w:rPr>
          <w:rFonts w:ascii="Arial" w:hAnsi="Arial" w:cs="Arial"/>
          <w:b/>
          <w:bCs/>
          <w:color w:val="303F4C"/>
          <w:lang w:val="en-US"/>
        </w:rPr>
        <w:t>Landbouw geen Roofbouw - Extinction Rebellion Netherlands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04-07-2025 11:15</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Landelijk gebied, Water (bodem) en Milieu</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Landbouw geen Roofbouw - Extinction Rebellion Netherlands</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04-07-2025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19,38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54"/>
      <w:r w:rsidRPr="00A448AC">
        <w:rPr>
          <w:rFonts w:ascii="Arial" w:hAnsi="Arial" w:cs="Arial"/>
          <w:b/>
          <w:bCs/>
          <w:color w:val="303F4C"/>
          <w:lang w:val="en-US"/>
        </w:rPr>
        <w:t>Reactie op brief 3 juni - Windplannen GS -</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22-07-2025 13:54</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Reactie op brief van 3 juni - Windplannen GS -_Geredigeerd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22-07-2025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2,33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16"/>
      <w:r w:rsidRPr="00A448AC">
        <w:rPr>
          <w:rFonts w:ascii="Arial" w:hAnsi="Arial" w:cs="Arial"/>
          <w:b/>
          <w:bCs/>
          <w:color w:val="303F4C"/>
          <w:lang w:val="en-US"/>
        </w:rPr>
        <w:t>Solidariteit gemeenteraad Hilversum met gemeenten Wijdemeren en Stichtse Vecht tegen voorgenomen plaatsing windturbines nabij Nederhorst den Berg</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15-07-2025 11:13</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Solidariteit gemeenteraad Hilversum met gemeenten Wijdemeren en Stichtse Vecht tegen voorgenomen plaatsing windturbines nabij Nederhorst den Berg_Geredigeerd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1,39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42"/>
      <w:r w:rsidRPr="00A448AC">
        <w:rPr>
          <w:rFonts w:ascii="Arial" w:hAnsi="Arial" w:cs="Arial"/>
          <w:b/>
          <w:bCs/>
          <w:color w:val="303F4C"/>
          <w:lang w:val="en-US"/>
        </w:rPr>
        <w:t>Zienswijze Spaar het Gein m.b.t. plannen hoogspanningsstation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08-07-2025 11:25</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Zienswijze Spaar het Gein m.b.t. plannen hoogspanningsstation_Geredigeerd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03-07-2025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97,12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Zienswijze tegen de bouw van een hoogspanningsstation in het Geingebied_Geredigeerd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03-07-2025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460,36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Bijlage Zienswijze tegen de bouw van een hoogspanningsstation in het Geingebied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03-07-2025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536,68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51"/>
      <w:r w:rsidRPr="00A448AC">
        <w:rPr>
          <w:rFonts w:ascii="Arial" w:hAnsi="Arial" w:cs="Arial"/>
          <w:b/>
          <w:bCs/>
          <w:color w:val="303F4C"/>
          <w:lang w:val="en-US"/>
        </w:rPr>
        <w:t>Rapport Randstedelijke Rekenkamer Een vol stroomnet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04-07-2025 13:37</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1. Rapport Een vol stroomnet Utrecht</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04-07-2025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2,57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2. Begeleidende brief rapport Een vol stroomnet</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04-07-2025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93,91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47"/>
      <w:r w:rsidRPr="00A448AC">
        <w:rPr>
          <w:rFonts w:ascii="Arial" w:hAnsi="Arial" w:cs="Arial"/>
          <w:b/>
          <w:bCs/>
          <w:color w:val="303F4C"/>
          <w:lang w:val="en-US"/>
        </w:rPr>
        <w:t>Voorgenomen windpark in zoekgebied 43 bij UNESCO Werelderfgoed de Hollandse Waterlinies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04-07-2025 08:55</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Voorgenomen windpark in zoekgebied 43 bij UNESCO Werelderfgoed de Hollandse Waterlinies_Geredigeerd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04-07-2025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23,55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31"/>
      <w:r w:rsidRPr="00A448AC">
        <w:rPr>
          <w:rFonts w:ascii="Arial" w:hAnsi="Arial" w:cs="Arial"/>
          <w:b/>
          <w:bCs/>
          <w:color w:val="303F4C"/>
          <w:lang w:val="en-US"/>
        </w:rPr>
        <w:t>Netcongestie terugleveringen Stichtse Vecht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01-07-2025 14:40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Bereikbaarheid en Energietransitie</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Netcongestie terugleveringen Stichtse Vecht_Geredigeerd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191,20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57"/>
      <w:r w:rsidRPr="00A448AC">
        <w:rPr>
          <w:rFonts w:ascii="Arial" w:hAnsi="Arial" w:cs="Arial"/>
          <w:b/>
          <w:bCs/>
          <w:color w:val="303F4C"/>
          <w:lang w:val="en-US"/>
        </w:rPr>
        <w:t>Vergoeding griifierecht en onjuiste informatie van gedeputeerde, hoger beroep Theehuis Overbosch</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29-07-2025 10:08</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Ruimtelijke ontwikkeling en Wonen</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Vergoeding griifierecht en onjuiste informatie van gedeputeerde, hoger beroep Theehuis Overbosch_Geredigeerd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29-07-2025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94,62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2025-07-23 Uitspraak Raad van State Theehuis Overbosch ECLI_NL_RVS20253413 (002)</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24-07-2025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617,26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75"/>
      <w:r w:rsidRPr="00A448AC">
        <w:rPr>
          <w:rFonts w:ascii="Arial" w:hAnsi="Arial" w:cs="Arial"/>
          <w:b/>
          <w:bCs/>
          <w:color w:val="303F4C"/>
          <w:lang w:val="en-US"/>
        </w:rPr>
        <w:t>Manifest "Slinger van Protest"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08-07-2025 14:24</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Ruimtelijke ontwikkeling en Wonen</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Manifest Slinger van Protest</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3,04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60"/>
      <w:r w:rsidRPr="00A448AC">
        <w:rPr>
          <w:rFonts w:ascii="Arial" w:hAnsi="Arial" w:cs="Arial"/>
          <w:b/>
          <w:bCs/>
          <w:color w:val="303F4C"/>
          <w:lang w:val="en-US"/>
        </w:rPr>
        <w:t>Lidmaatschap UNESCO</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28-07-2025 13:28</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Ontvangen bericht Lidmaatschap UNESCO_Geredigeerd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94,39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53"/>
      <w:r w:rsidRPr="00A448AC">
        <w:rPr>
          <w:rFonts w:ascii="Arial" w:hAnsi="Arial" w:cs="Arial"/>
          <w:b/>
          <w:bCs/>
          <w:color w:val="303F4C"/>
          <w:lang w:val="en-US"/>
        </w:rPr>
        <w:t>Geen festivalterrein De Hampoort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18-07-2025 12:06</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(5)</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4.1 Brief Provincie Festival Hampoort_Geredigeerd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147,78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4.2 Foto De Hampoort</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387,04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4.3 20 Bezwaren</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108,43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4.</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4.4 Nadere toelichting. Geen festivalterrein op Hampoort</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154,09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5.</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4.5 Brief aan gemeente Utrecht_Geredigeerd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144,97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52"/>
      <w:r w:rsidRPr="00A448AC">
        <w:rPr>
          <w:rFonts w:ascii="Arial" w:hAnsi="Arial" w:cs="Arial"/>
          <w:b/>
          <w:bCs/>
          <w:color w:val="303F4C"/>
          <w:lang w:val="en-US"/>
        </w:rPr>
        <w:t>Gespreksnotitie tbv PS - IPO-bestuursvergadering 3 juli 2025</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18-07-2025 11:42</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Gespreksnotitie tbv PS - IPO-bestuursvergadering 3 juli 2025</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157,42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47"/>
      <w:r w:rsidRPr="00A448AC">
        <w:rPr>
          <w:rFonts w:ascii="Arial" w:hAnsi="Arial" w:cs="Arial"/>
          <w:b/>
          <w:bCs/>
          <w:color w:val="303F4C"/>
          <w:lang w:val="en-US"/>
        </w:rPr>
        <w:t>Gemeenschappelijke Regeling RUD/ODRU Update vorming een omgevingsdienst in Utrecht juli 2025</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18-07-2025 09:31</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3. RUD/ODRU Update vorming een omgevingsdienst in Utrecht juli 2025</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182,01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46"/>
      <w:r w:rsidRPr="00A448AC">
        <w:rPr>
          <w:rFonts w:ascii="Arial" w:hAnsi="Arial" w:cs="Arial"/>
          <w:b/>
          <w:bCs/>
          <w:color w:val="303F4C"/>
          <w:lang w:val="en-US"/>
        </w:rPr>
        <w:t>Advies commissariaat voor de Media aanwijzing regionale publieke omroep (SV Aanwijzingsprocedure regionale publieke omroep volgt in oktober)</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18-07-2025 09:15</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2. Advies commissariaat voor de Media aanwijzing regionale publieke omroep_Geredigeerd (SV Aanwijzingsprocedure regionale publieke omroep volgt in oktober)</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2,02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44"/>
      <w:r w:rsidRPr="00A448AC">
        <w:rPr>
          <w:rFonts w:ascii="Arial" w:hAnsi="Arial" w:cs="Arial"/>
          <w:b/>
          <w:bCs/>
          <w:color w:val="303F4C"/>
          <w:lang w:val="en-US"/>
        </w:rPr>
        <w:t>Gemeenschappelijke Regeling RRK Begroting 2026</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18-07-2025 09:07</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Brief vastgestelde begroting 2026</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96,19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Begroting 2026 Randstedelijke Rekenkamer</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18-07-2025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1,08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23"/>
      <w:r w:rsidRPr="00A448AC">
        <w:rPr>
          <w:rFonts w:ascii="Arial" w:hAnsi="Arial" w:cs="Arial"/>
          <w:b/>
          <w:bCs/>
          <w:color w:val="303F4C"/>
          <w:lang w:val="en-US"/>
        </w:rPr>
        <w:t>Gemeenschappelijke Regeling Aanbieding (Ontwerp) Programmabegroting ODU 2026 en (Ontwerp) Bijdrageverordening ODU voor mogelijkheid zienswijze (De zienswijze volgt nog. Deze wordt meegenomen bij het Statenvoorstel Toestemming tot toetreding van de GR ODU (nazending 3 september)</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15-07-2025 17:03</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(4)</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Aanbiedingsbrief mogelijkheid zienswijze (Ontwerp) Programmabegroting ODU 2026</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215,10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(ontwerp) programmabegroting 2026 ODU-versie Gez.AB</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3,80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Aanbiedingsbrief mogelijheid zienswijze (ontwerp) bijdrageverordening ODU</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169,00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4.</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(ontwerp) bijdrageverordening_versie 23 juni 25</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152,37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27"/>
      <w:r w:rsidRPr="00A448AC">
        <w:rPr>
          <w:rFonts w:ascii="Arial" w:hAnsi="Arial" w:cs="Arial"/>
          <w:b/>
          <w:bCs/>
          <w:color w:val="303F4C"/>
          <w:lang w:val="en-US"/>
        </w:rPr>
        <w:t>Gemeenschappelijke Regeling Recreatieschap Stichtse Groenlanden Vastgestelde financiële stukken </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15-07-2025 16:59</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(5)</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Aanbiedingsbrief Raden en Staten - Begroting 2026 ongetekend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258,96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Acc. Recreatieschap Stichtse Groenlanden, controleverklaring 2024, was getekend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217,99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Acc. Recreatieschap Stichtse Groenlanden, jaarrekening 2024</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16,50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4.</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Nota van Antwoord Ontwerp Begroting 2026 tbv AB</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170,03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5.</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Programmabegroting 2026</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886,10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25"/>
      <w:r w:rsidRPr="00A448AC">
        <w:rPr>
          <w:rFonts w:ascii="Arial" w:hAnsi="Arial" w:cs="Arial"/>
          <w:b/>
          <w:bCs/>
          <w:color w:val="303F4C"/>
          <w:lang w:val="en-US"/>
        </w:rPr>
        <w:t>Gemeenschappelijke Regeling Plassenschap Loosdrecht e.o. Ontwerpbegroting 2026</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15-07-2025 16:53</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Aanbiedingsbrief begroting 2026 en uitstel jaarrekening 2024 onbeveiligd</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171,85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Nota van antwoord op ontvangen zienswijzen m.b.t. Ontwerpbegroting 2026</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134,21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Ontwerpbegroting 2026</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15-07-2025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721,41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237"/>
      <w:r w:rsidRPr="00A448AC">
        <w:rPr>
          <w:rFonts w:ascii="Arial" w:hAnsi="Arial" w:cs="Arial"/>
          <w:b/>
          <w:bCs/>
          <w:color w:val="303F4C"/>
          <w:lang w:val="en-US"/>
        </w:rPr>
        <w:t>Letter from the Ambassador of Denmark on the Danish EU Presidency of the Council of the European Union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02-07-2025 17:28</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Statencommissie Bestuur, Economie en Cultuur &amp; erfgoed</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1. Letter from the Ambassador of Denmark on the Danish EU Presidency of the Council of the European Union</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02-07-2025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47,56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www.stateninformatie.provincie-utrecht.nl//Documenten/Ontvangen-bericht-Negatieve-wolvenreclame-en-wolvenhaat-verspreiding-en-angst-op-website-provincie-utrecht-en-reclame-Geredigeerd.pdf" TargetMode="External" /><Relationship Id="rId25" Type="http://schemas.openxmlformats.org/officeDocument/2006/relationships/hyperlink" Target="https://www.stateninformatie.provincie-utrecht.nl//Documenten/Ontvangen-bericht-Landbouw-geen-Roofbouw-Extinction-Rebellion-Netherlands.pdf" TargetMode="External" /><Relationship Id="rId26" Type="http://schemas.openxmlformats.org/officeDocument/2006/relationships/hyperlink" Target="https://www.stateninformatie.provincie-utrecht.nl//Documenten/Ontvangen-bericht-Reactie-op-brief-van-3-juni-Windplannen-GS-Geredigeerd.pdf" TargetMode="External" /><Relationship Id="rId27" Type="http://schemas.openxmlformats.org/officeDocument/2006/relationships/hyperlink" Target="https://www.stateninformatie.provincie-utrecht.nl//Documenten/Ontvangen-bericht-Solidariteit-gemeenteraad-Hilversum-met-gemeenten-Wijdemeren-en-Stichtse-Vecht-tegen-voorgenomen-plaatsing-windturbines-nabij-Nederhorst-den-Berg-Geredigeerd.pdf" TargetMode="External" /><Relationship Id="rId28" Type="http://schemas.openxmlformats.org/officeDocument/2006/relationships/hyperlink" Target="https://www.stateninformatie.provincie-utrecht.nl//Documenten/Ontvangen-bericht-Zienswijze-Spaar-het-Gein-m-b-t-plannen-hoogspanningsstation-Geredigeerd.pdf" TargetMode="External" /><Relationship Id="rId29" Type="http://schemas.openxmlformats.org/officeDocument/2006/relationships/hyperlink" Target="https://www.stateninformatie.provincie-utrecht.nl//Documenten/Zienswijze-tegen-de-bouw-van-een-hoogspanningsstation-in-het-Geingebied-Geredigeerd.pdf" TargetMode="External" /><Relationship Id="rId36" Type="http://schemas.openxmlformats.org/officeDocument/2006/relationships/hyperlink" Target="https://www.stateninformatie.provincie-utrecht.nl//Documenten/Bijlage-Zienswijze-tegen-de-bouw-van-een-hoogspanningsstation-in-het-Geingebied.pdf" TargetMode="External" /><Relationship Id="rId37" Type="http://schemas.openxmlformats.org/officeDocument/2006/relationships/hyperlink" Target="https://www.stateninformatie.provincie-utrecht.nl//Documenten/1-Rapport-Een-vol-stroomnet-Utrecht.pdf" TargetMode="External" /><Relationship Id="rId38" Type="http://schemas.openxmlformats.org/officeDocument/2006/relationships/hyperlink" Target="https://www.stateninformatie.provincie-utrecht.nl//Documenten/2-Begeleidende-brief-rapport-Een-vol-stroomnet.pdf" TargetMode="External" /><Relationship Id="rId39" Type="http://schemas.openxmlformats.org/officeDocument/2006/relationships/hyperlink" Target="https://www.stateninformatie.provincie-utrecht.nl//Documenten/Ontvangen-bericht-Voorgenomen-windpark-in-zoekgebied-43-bij-UNESCO-Werelderfgoed-de-Hollandse-Waterlinies-Geredigeerd.pdf" TargetMode="External" /><Relationship Id="rId40" Type="http://schemas.openxmlformats.org/officeDocument/2006/relationships/hyperlink" Target="https://www.stateninformatie.provincie-utrecht.nl//Documenten/Ontvangen-bericht-Netcongestie-terugleveringen-Stichtse-Vecht-Geredigeerd.pdf" TargetMode="External" /><Relationship Id="rId41" Type="http://schemas.openxmlformats.org/officeDocument/2006/relationships/hyperlink" Target="https://www.stateninformatie.provincie-utrecht.nl//Documenten/Ontvangen-bericht-Vergoeding-griifierecht-en-onjuiste-informatie-van-gedeputeerde-hoger-beroep-Theehuis-Overbosch-Geredigeerd-1.pdf" TargetMode="External" /><Relationship Id="rId42" Type="http://schemas.openxmlformats.org/officeDocument/2006/relationships/hyperlink" Target="https://www.stateninformatie.provincie-utrecht.nl//Documenten/2025-07-23-Uitspraak-Raad-van-State-Theehuis-Overbosch-ECLI-NL-RVS20253413-002.pdf" TargetMode="External" /><Relationship Id="rId43" Type="http://schemas.openxmlformats.org/officeDocument/2006/relationships/hyperlink" Target="https://www.stateninformatie.provincie-utrecht.nl//Documenten/Manifest-Slinger-van-Protest.pdf" TargetMode="External" /><Relationship Id="rId44" Type="http://schemas.openxmlformats.org/officeDocument/2006/relationships/hyperlink" Target="https://www.stateninformatie.provincie-utrecht.nl//Documenten/Ontvangen-bericht-Lidmaatschap-UNESCO-Geredigeerd.pdf" TargetMode="External" /><Relationship Id="rId45" Type="http://schemas.openxmlformats.org/officeDocument/2006/relationships/hyperlink" Target="https://www.stateninformatie.provincie-utrecht.nl//Documenten/Brief-Provincie-Geredigeerd.pdf" TargetMode="External" /><Relationship Id="rId46" Type="http://schemas.openxmlformats.org/officeDocument/2006/relationships/hyperlink" Target="https://www.stateninformatie.provincie-utrecht.nl//Documenten/Foto-De-Hampoort.pdf" TargetMode="External" /><Relationship Id="rId47" Type="http://schemas.openxmlformats.org/officeDocument/2006/relationships/hyperlink" Target="https://www.stateninformatie.provincie-utrecht.nl//Documenten/20-Bezwaren.pdf" TargetMode="External" /><Relationship Id="rId54" Type="http://schemas.openxmlformats.org/officeDocument/2006/relationships/hyperlink" Target="https://www.stateninformatie.provincie-utrecht.nl//Documenten/Nadere-toelichting-Geen-festivalterrein-op-Hampoort.pdf" TargetMode="External" /><Relationship Id="rId55" Type="http://schemas.openxmlformats.org/officeDocument/2006/relationships/hyperlink" Target="https://www.stateninformatie.provincie-utrecht.nl//Documenten/Brief-aan-gemeente-Utrecht-Geredigeerd.pdf" TargetMode="External" /><Relationship Id="rId56" Type="http://schemas.openxmlformats.org/officeDocument/2006/relationships/hyperlink" Target="https://www.stateninformatie.provincie-utrecht.nl//Documenten/Gespreksnotitie-tbv-PS-IPO-bestuursvergadering-3-juli-2025.pdf" TargetMode="External" /><Relationship Id="rId57" Type="http://schemas.openxmlformats.org/officeDocument/2006/relationships/hyperlink" Target="https://www.stateninformatie.provincie-utrecht.nl//Documenten/Update-vorming-een-omgevingsdienst-in-Utrecht-juli-2025.pdf" TargetMode="External" /><Relationship Id="rId58" Type="http://schemas.openxmlformats.org/officeDocument/2006/relationships/hyperlink" Target="https://www.stateninformatie.provincie-utrecht.nl//Documenten/Advies-commissariaat-voor-de-Media-aanwijzing-regionale-publieke-omroep-Geredigeerd.pdf" TargetMode="External" /><Relationship Id="rId59" Type="http://schemas.openxmlformats.org/officeDocument/2006/relationships/hyperlink" Target="https://www.stateninformatie.provincie-utrecht.nl//Documenten/Brief-vastgestelde-begroting-2026.pdf" TargetMode="External" /><Relationship Id="rId60" Type="http://schemas.openxmlformats.org/officeDocument/2006/relationships/hyperlink" Target="https://www.stateninformatie.provincie-utrecht.nl//Documenten/Begroting-2026-Randstedelijke-Rekenkamer.pdf" TargetMode="External" /><Relationship Id="rId61" Type="http://schemas.openxmlformats.org/officeDocument/2006/relationships/hyperlink" Target="https://www.stateninformatie.provincie-utrecht.nl//Documenten/Aanbiedingsbrief-mogelijkheid-zienswijze-Ontwerp-Programmabegroting-ODU-2026.pdf" TargetMode="External" /><Relationship Id="rId62" Type="http://schemas.openxmlformats.org/officeDocument/2006/relationships/hyperlink" Target="https://www.stateninformatie.provincie-utrecht.nl//Documenten/ontwerp-programmabegroting-2026-ODU-versie-Gez-AB.pdf" TargetMode="External" /><Relationship Id="rId63" Type="http://schemas.openxmlformats.org/officeDocument/2006/relationships/hyperlink" Target="https://www.stateninformatie.provincie-utrecht.nl//Documenten/Aanbiedingsbrief-mogelijheid-zienswijze-ontwerp-bijdrageverordening-ODU.pdf" TargetMode="External" /><Relationship Id="rId64" Type="http://schemas.openxmlformats.org/officeDocument/2006/relationships/hyperlink" Target="https://www.stateninformatie.provincie-utrecht.nl//Documenten/ontwerp-bijdrageverordening-versie-23-juni-25.pdf" TargetMode="External" /><Relationship Id="rId65" Type="http://schemas.openxmlformats.org/officeDocument/2006/relationships/hyperlink" Target="https://www.stateninformatie.provincie-utrecht.nl//Documenten/Aanbiedingsbrief-Raden-en-Staten-Begroting-2026-ongetekend.pdf" TargetMode="External" /><Relationship Id="rId66" Type="http://schemas.openxmlformats.org/officeDocument/2006/relationships/hyperlink" Target="https://www.stateninformatie.provincie-utrecht.nl//Documenten/Acc-Recreatieschap-Stichtse-Groenlanden-controleverklaring-2024-was-getekend.pdf" TargetMode="External" /><Relationship Id="rId67" Type="http://schemas.openxmlformats.org/officeDocument/2006/relationships/hyperlink" Target="https://www.stateninformatie.provincie-utrecht.nl//Documenten/Acc-Recreatieschap-Stichtse-Groenlanden-jaarrekening-2024.pdf" TargetMode="External" /><Relationship Id="rId68" Type="http://schemas.openxmlformats.org/officeDocument/2006/relationships/hyperlink" Target="https://www.stateninformatie.provincie-utrecht.nl//Documenten/Nota-van-Antwoord-Ontwerp-Begroting-2026-tbv-AB.pdf" TargetMode="External" /><Relationship Id="rId69" Type="http://schemas.openxmlformats.org/officeDocument/2006/relationships/hyperlink" Target="https://www.stateninformatie.provincie-utrecht.nl//Documenten/Programmabegroting-2026.pdf" TargetMode="External" /><Relationship Id="rId70" Type="http://schemas.openxmlformats.org/officeDocument/2006/relationships/hyperlink" Target="https://www.stateninformatie.provincie-utrecht.nl//Documenten/Aanbiedingsbrief-begroting-2026-en-uitstel-jaarrekening-2024-onbeveiligd.pdf" TargetMode="External" /><Relationship Id="rId71" Type="http://schemas.openxmlformats.org/officeDocument/2006/relationships/hyperlink" Target="https://www.stateninformatie.provincie-utrecht.nl//Documenten/Nota-van-antwoord-op-ontvangen-zienswijzen-m-b-t-Ontwerpbegroting-2026.pdf" TargetMode="External" /><Relationship Id="rId78" Type="http://schemas.openxmlformats.org/officeDocument/2006/relationships/hyperlink" Target="https://www.stateninformatie.provincie-utrecht.nl//Documenten/Ontwerpbegroting-2026.pdf" TargetMode="External" /><Relationship Id="rId79" Type="http://schemas.openxmlformats.org/officeDocument/2006/relationships/hyperlink" Target="https://www.stateninformatie.provincie-utrecht.nl//Documenten/Letter-from-the-Ambassador-of-Denmark-on-the-Danish-EU-Presidency-of-the-Council-of-the-European-Union.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