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(RvO art. 47) (t/m 21-05-2024)
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