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2.45098039215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(RvO art. 47)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Beantwoord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(3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33" w:history="1">
        <w:r>
          <w:rPr>
            <w:rFonts w:ascii="Arial" w:hAnsi="Arial" w:eastAsia="Arial" w:cs="Arial"/>
            <w:color w:val="155CAA"/>
            <w:u w:val="single"/>
          </w:rPr>
          <w:t xml:space="preserve">1 Statushouders, ingediend door JA21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31" w:history="1">
        <w:r>
          <w:rPr>
            <w:rFonts w:ascii="Arial" w:hAnsi="Arial" w:eastAsia="Arial" w:cs="Arial"/>
            <w:color w:val="155CAA"/>
            <w:u w:val="single"/>
          </w:rPr>
          <w:t xml:space="preserve">2 Waterschapsbelasting, ingediend door JA21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32" w:history="1">
        <w:r>
          <w:rPr>
            <w:rFonts w:ascii="Arial" w:hAnsi="Arial" w:eastAsia="Arial" w:cs="Arial"/>
            <w:color w:val="155CAA"/>
            <w:u w:val="single"/>
          </w:rPr>
          <w:t xml:space="preserve">3 Rittenregistratie, ingediend door JA21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33"/>
      <w:r w:rsidRPr="00A448AC">
        <w:rPr>
          <w:rFonts w:ascii="Arial" w:hAnsi="Arial" w:cs="Arial"/>
          <w:b/>
          <w:bCs/>
          <w:color w:val="303F4C"/>
          <w:lang w:val="en-US"/>
        </w:rPr>
        <w:t>Statushouders, ingediend door JA21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07-09-2023 10:08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Statushouders, ingediend door JA21,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105,47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Statushouders, ingediend door JA21,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31"/>
      <w:r w:rsidRPr="00A448AC">
        <w:rPr>
          <w:rFonts w:ascii="Arial" w:hAnsi="Arial" w:cs="Arial"/>
          <w:b/>
          <w:bCs/>
          <w:color w:val="303F4C"/>
          <w:lang w:val="en-US"/>
        </w:rPr>
        <w:t>Waterschapsbelasting, ingediend door JA21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07-09-2023 10:05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Waterschapsbelasting, ingediend door JA21,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Waterschapsbelasting, ingediend door JA21,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artikel AD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155,85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32"/>
      <w:r w:rsidRPr="00A448AC">
        <w:rPr>
          <w:rFonts w:ascii="Arial" w:hAnsi="Arial" w:cs="Arial"/>
          <w:b/>
          <w:bCs/>
          <w:color w:val="303F4C"/>
          <w:lang w:val="en-US"/>
        </w:rPr>
        <w:t>Rittenregistratie, ingediend door JA21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05-09-2023 16:26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Rittenregistratie, ingediend door JA21,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Rittenregistratie, ingediend door JA21,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171,01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www.stateninformatie.provincie-utrecht.nl//documenten/Artikel-47-Statushouders-ingediend-door-JA21-vragen-1.pdf" TargetMode="External" /><Relationship Id="rId27" Type="http://schemas.openxmlformats.org/officeDocument/2006/relationships/hyperlink" Target="https://www.stateninformatie.provincie-utrecht.nl//documenten/Beantwoording-schriftelijke-vragen-statushouders-artikel-AD-van-4-augustus-jl-Gemeente-Utrecht-moet-in-tweede-halfjaar-704-statushouders-huisvesten-1.pdf" TargetMode="External" /><Relationship Id="rId28" Type="http://schemas.openxmlformats.org/officeDocument/2006/relationships/hyperlink" Target="https://www.stateninformatie.provincie-utrecht.nl//documenten/Artikel-47-Waterschapsbelasting-ingediend-door-JA21-vragen.pdf" TargetMode="External" /><Relationship Id="rId29" Type="http://schemas.openxmlformats.org/officeDocument/2006/relationships/hyperlink" Target="https://www.stateninformatie.provincie-utrecht.nl//documenten/Beantwoording-schriftelijke-vragen-over-artikel-AD-van-3-augustus-inzake-waterschap-Amstel-Gooi-en-Vecht.pdf" TargetMode="External" /><Relationship Id="rId30" Type="http://schemas.openxmlformats.org/officeDocument/2006/relationships/hyperlink" Target="https://www.stateninformatie.provincie-utrecht.nl//documenten/AD-Een-deel-van-de-provincie-Utrecht-moet-meebetalen-aan-de-bruggen-in-Amsterdam-dit-is-waarom-Utrecht-AD-nl.pdf" TargetMode="External" /><Relationship Id="rId31" Type="http://schemas.openxmlformats.org/officeDocument/2006/relationships/hyperlink" Target="https://www.stateninformatie.provincie-utrecht.nl//documenten/Artikel-47-Rittenregistratie-ingediend-door-JA21-vragen.pdf" TargetMode="External" /><Relationship Id="rId38" Type="http://schemas.openxmlformats.org/officeDocument/2006/relationships/hyperlink" Target="https://www.stateninformatie.provincie-utrecht.nl//documenten/Beantwoording-schriftelijke-vragen-ex-art-47-betreffende-rittenregistrat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