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 (RvO art. 47) (t/m 21-05-2024)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20" meta:character-count="154" meta:non-whitespace-character-count="1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