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(RvO art. 47)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Ingediend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